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учебно- исследовательской работы (профильное исследование)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учебно- исследовательской работы (профильное исследование)»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учебно-исследовательской работы (профильное исследование)».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научно- педагогического исследования в предметной области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правила формулировки задач для достижения поставленной цели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задачи в соответствии с целью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ОПК-8,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2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06.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w:t>
            </w:r>
          </w:p>
          <w:p>
            <w:pPr>
              <w:jc w:val="center"/>
              <w:spacing w:after="0" w:line="240" w:lineRule="auto"/>
              <w:rPr>
                <w:sz w:val="24"/>
                <w:szCs w:val="24"/>
              </w:rPr>
            </w:pPr>
            <w:r>
              <w:rPr>
                <w:rFonts w:ascii="Times New Roman" w:hAnsi="Times New Roman" w:cs="Times New Roman"/>
                <w:b/>
                <w:color w:val="#000000"/>
                <w:sz w:val="24"/>
                <w:szCs w:val="24"/>
              </w:rPr>
              <w:t> начала Нового времени (XVII 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России XVIII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w:t>
            </w:r>
          </w:p>
          <w:p>
            <w:pPr>
              <w:jc w:val="center"/>
              <w:spacing w:after="0" w:line="240" w:lineRule="auto"/>
              <w:rPr>
                <w:sz w:val="24"/>
                <w:szCs w:val="24"/>
              </w:rPr>
            </w:pPr>
            <w:r>
              <w:rPr>
                <w:rFonts w:ascii="Times New Roman" w:hAnsi="Times New Roman" w:cs="Times New Roman"/>
                <w:b/>
                <w:color w:val="#000000"/>
                <w:sz w:val="24"/>
                <w:szCs w:val="24"/>
              </w:rPr>
              <w:t> начала Нового времени (XVII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 в</w:t>
            </w:r>
          </w:p>
          <w:p>
            <w:pPr>
              <w:jc w:val="center"/>
              <w:spacing w:after="0" w:line="240" w:lineRule="auto"/>
              <w:rPr>
                <w:sz w:val="24"/>
                <w:szCs w:val="24"/>
              </w:rPr>
            </w:pPr>
            <w:r>
              <w:rPr>
                <w:rFonts w:ascii="Times New Roman" w:hAnsi="Times New Roman" w:cs="Times New Roman"/>
                <w:b/>
                <w:color w:val="#000000"/>
                <w:sz w:val="24"/>
                <w:szCs w:val="24"/>
              </w:rPr>
              <w:t> Европе XVIII–XIX вв.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1.31608"/>
        </w:trPr>
        <w:tc>
          <w:tcPr>
            <w:tcW w:w="9640" w:type="dxa"/>
          </w:tcPr>
          <w:p/>
        </w:tc>
      </w:tr>
      <w:tr>
        <w:trPr>
          <w:trHeight w:hRule="exact" w:val="98.342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79.48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156"/>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учебно- исследовательской работы (профильное исследование)»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90.8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6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2023-2024_ФГОС3++2023_Бак-ОФО-ПО(БЖД)(23)_plx_Основы учебно-исследовательской работы (профильное исследование)</dc:title>
  <dc:creator>FastReport.NET</dc:creator>
</cp:coreProperties>
</file>